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Qualification</w:t>
      </w:r>
      <w:r>
        <w:t xml:space="preserve"> </w:t>
      </w:r>
      <w:r>
        <w:t xml:space="preserve">of</w:t>
      </w:r>
      <w:r>
        <w:t xml:space="preserve"> </w:t>
      </w:r>
      <w:r>
        <w:t xml:space="preserve">CKD</w:t>
      </w:r>
      <w:r>
        <w:t xml:space="preserve"> </w:t>
      </w:r>
      <w:r>
        <w:t xml:space="preserve">Populations</w:t>
      </w:r>
    </w:p>
    <w:tbl>
      <w:tblPr>
        <w:tblStyle w:val="Table"/>
        <w:tblW w:type="pct" w:w="5000"/>
        <w:tblLook w:firstRow="1" w:lastRow="0" w:firstColumn="0" w:lastColumn="0" w:noHBand="0" w:noVBand="0" w:val="0020"/>
      </w:tblPr>
      <w:tblGrid>
        <w:gridCol w:w="3478"/>
        <w:gridCol w:w="4441"/>
      </w:tblGrid>
      <w:tr>
        <w:trPr>
          <w:tblHeader w:val="true"/>
        </w:trPr>
        <w:tc>
          <w:tcPr/>
          <w:p>
            <w:pPr>
              <w:pStyle w:val="Compact"/>
              <w:jc w:val="left"/>
            </w:pPr>
            <w:r>
              <w:t xml:space="preserve">Version</w:t>
            </w:r>
          </w:p>
        </w:tc>
        <w:tc>
          <w:tcPr/>
          <w:p>
            <w:pPr>
              <w:pStyle w:val="Compact"/>
              <w:jc w:val="left"/>
            </w:pPr>
            <w:r>
              <w:t xml:space="preserve">1.0-OSP11.0</w:t>
            </w:r>
          </w:p>
        </w:tc>
      </w:tr>
      <w:tr>
        <w:tc>
          <w:tcPr/>
          <w:p>
            <w:pPr>
              <w:pStyle w:val="Compact"/>
              <w:jc w:val="left"/>
            </w:pPr>
            <w:r>
              <w:t xml:space="preserve">OSP</w:t>
            </w:r>
            <w:r>
              <w:t xml:space="preserve"> </w:t>
            </w:r>
            <w:r>
              <w:t xml:space="preserve">Version</w:t>
            </w:r>
          </w:p>
        </w:tc>
        <w:tc>
          <w:tcPr/>
          <w:p>
            <w:pPr>
              <w:pStyle w:val="Compact"/>
              <w:jc w:val="left"/>
            </w:pPr>
            <w:r>
              <w:t xml:space="preserve">11.0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d-population-development"/>
    <w:p>
      <w:pPr>
        <w:pStyle w:val="berschrift1"/>
      </w:pPr>
      <w:r>
        <w:t xml:space="preserve">CKD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_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_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r>
        <w:br w:type="page"/>
      </w:r>
    </w:p>
    <w:p>
      <w:pPr>
        <w:pStyle w:val="Textkrper"/>
      </w:pPr>
      <w:r>
        <w:rPr>
          <w:bCs/>
          <w:b/>
        </w:rPr>
        <w:t xml:space="preserve">Table 2-1.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populations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r>
        <w:br w:type="page"/>
      </w:r>
    </w:p>
    <w:p>
      <w:pPr>
        <w:pStyle w:val="Textkrper"/>
      </w:pPr>
      <w:r>
        <w:rPr>
          <w:bCs/>
          <w:b/>
        </w:rPr>
        <w:t xml:space="preserve">Table 3-1.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w:t>
      </w:r>
      <w:r>
        <w:t xml:space="preserve"> </w:t>
      </w:r>
      <w:r>
        <w:t xml:space="preserve">demonstrates the simulated oral model PK profiles in a healthy population compared against observed Blum 1994 study data.</w:t>
      </w:r>
      <w:r>
        <w:t xml:space="preserve">34</w:t>
      </w:r>
    </w:p>
    <w:p>
      <w:pPr>
        <w:pStyle w:val="Textkrper"/>
      </w:pPr>
    </w:p>
    <w:p>
      <w:r>
        <w:br w:type="page"/>
      </w:r>
    </w:p>
    <w:p>
      <w:pPr>
        <w:pStyle w:val="CaptionedFigure"/>
      </w:pPr>
      <w:r>
        <w:drawing>
          <wp:inline>
            <wp:extent cx="5969000" cy="2684806"/>
            <wp:effectExtent b="0" l="0" r="0" t="0"/>
            <wp:docPr descr="Figure 3-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compounds/004_section_gabapentin/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3-3</w:t>
      </w:r>
    </w:p>
    <w:p>
      <w:pPr>
        <w:pStyle w:val="Textkrper"/>
      </w:pPr>
    </w:p>
    <w:p>
      <w:r>
        <w:br w:type="page"/>
      </w:r>
    </w:p>
    <w:p>
      <w:pPr>
        <w:pStyle w:val="CaptionedFigure"/>
      </w:pPr>
      <w:r>
        <w:drawing>
          <wp:inline>
            <wp:extent cx="5969000" cy="2684806"/>
            <wp:effectExtent b="0" l="0" r="0" t="0"/>
            <wp:docPr descr="Figure 3-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compounds/004_section_gabapentin/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3-2: Simulation of the pharmacokinetics of Gabapentin after a single dose of 400 mg in subjects with CKD. Observed data (circles) presented from Blum.</w:t>
      </w:r>
    </w:p>
    <w:p>
      <w:pPr>
        <w:pStyle w:val="Textkrper"/>
      </w:pPr>
      <w:r>
        <w:t xml:space="preserve"> </w:t>
      </w:r>
    </w:p>
    <w:p>
      <w:pPr>
        <w:pStyle w:val="Textkrper"/>
      </w:pPr>
    </w:p>
    <w:p>
      <w:r>
        <w:br w:type="page"/>
      </w:r>
    </w:p>
    <w:p>
      <w:pPr>
        <w:pStyle w:val="CaptionedFigure"/>
      </w:pPr>
      <w:r>
        <w:drawing>
          <wp:inline>
            <wp:extent cx="5969000" cy="2684806"/>
            <wp:effectExtent b="0" l="0" r="0" t="0"/>
            <wp:docPr descr="Figure 3-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compounds/004_section_gabapentin/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3-4</w:t>
      </w:r>
      <w:r>
        <w:t xml:space="preserve">.</w:t>
      </w:r>
    </w:p>
    <w:p>
      <w:r>
        <w:br w:type="page"/>
      </w:r>
    </w:p>
    <w:p>
      <w:pPr>
        <w:pStyle w:val="Textkrper"/>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3-4</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3-3</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3-4.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3-4</w:t>
      </w:r>
      <w:r>
        <w:t xml:space="preserve"> </w:t>
      </w:r>
      <w:r>
        <w:t xml:space="preserve">shows the simulated oral model PK profiles in a healthy population compared against observed Roux 1980 study data.</w:t>
      </w:r>
      <w:r>
        <w:t xml:space="preserve">37</w:t>
      </w:r>
    </w:p>
    <w:p>
      <w:pPr>
        <w:pStyle w:val="Textkrper"/>
      </w:pPr>
    </w:p>
    <w:p>
      <w:r>
        <w:br w:type="page"/>
      </w:r>
    </w:p>
    <w:p>
      <w:pPr>
        <w:pStyle w:val="CaptionedFigure"/>
      </w:pPr>
      <w:r>
        <w:drawing>
          <wp:inline>
            <wp:extent cx="5969000" cy="2684806"/>
            <wp:effectExtent b="0" l="0" r="0" t="0"/>
            <wp:docPr descr="Figure 3-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compounds/007_section_acebutolol/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3-5</w:t>
      </w:r>
    </w:p>
    <w:p>
      <w:pPr>
        <w:pStyle w:val="Textkrper"/>
      </w:pPr>
    </w:p>
    <w:p>
      <w:r>
        <w:br w:type="page"/>
      </w:r>
    </w:p>
    <w:p>
      <w:pPr>
        <w:pStyle w:val="CaptionedFigure"/>
      </w:pPr>
      <w:r>
        <w:drawing>
          <wp:inline>
            <wp:extent cx="5969000" cy="2684806"/>
            <wp:effectExtent b="0" l="0" r="0" t="0"/>
            <wp:docPr descr="Figure 3-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compounds/007_section_acebutolol/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berschrift5"/>
      </w:pPr>
      <w:r>
        <w:t xml:space="preserve">IV model</w:t>
      </w:r>
    </w:p>
    <w:p>
      <w:r>
        <w:br w:type="page"/>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r>
        <w:br w:type="page"/>
      </w:r>
    </w:p>
    <w:p>
      <w:pPr>
        <w:pStyle w:val="Textkrper"/>
      </w:pPr>
      <w:r>
        <w:rPr>
          <w:bCs/>
          <w:b/>
        </w:rPr>
        <w:t xml:space="preserve">Table 3-6.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r>
        <w:br w:type="page"/>
      </w:r>
    </w:p>
    <w:p>
      <w:pPr>
        <w:pStyle w:val="Textkrper"/>
      </w:pPr>
      <w:r>
        <w:rPr>
          <w:bCs/>
          <w:b/>
        </w:rPr>
        <w:t xml:space="preserve">Table 3-7.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3-8.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pPr>
        <w:pStyle w:val="Textkrper"/>
      </w:pPr>
    </w:p>
    <w:p>
      <w:r>
        <w:br w:type="page"/>
      </w:r>
    </w:p>
    <w:p>
      <w:pPr>
        <w:pStyle w:val="CaptionedFigure"/>
      </w:pPr>
      <w:r>
        <w:drawing>
          <wp:inline>
            <wp:extent cx="5969000" cy="2684806"/>
            <wp:effectExtent b="0" l="0" r="0" t="0"/>
            <wp:docPr descr="Figure 3-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compounds/010_section_atenolol/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3-6: Simulation of the pharmacokinetics of Atenolol after multiple doses of 100 mg once daily in healthy subjects.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compounds/010_section_atenolol/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3-7: Simulation of the pharmacokinetics of Atenolol after a single dose of 100 mg in healthy subjects.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compounds/010_section_atenolol/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p>
      <w:pPr>
        <w:pStyle w:val="Textkrper"/>
      </w:pPr>
    </w:p>
    <w:p>
      <w:r>
        <w:br w:type="page"/>
      </w:r>
    </w:p>
    <w:p>
      <w:pPr>
        <w:pStyle w:val="CaptionedFigure"/>
      </w:pPr>
      <w:r>
        <w:drawing>
          <wp:inline>
            <wp:extent cx="5969000" cy="2684806"/>
            <wp:effectExtent b="0" l="0" r="0" t="0"/>
            <wp:docPr descr="Figure 3-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compounds/010_section_atenolol/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3-9: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compounds/010_section_atenolol/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3-10: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compounds/010_section_atenolol/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3-11: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compounds/010_section_atenolol/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3-12: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compounds/010_section_atenolol/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3-13: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compounds/010_section_atenolol/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conclusion"/>
    <w:p>
      <w:pPr>
        <w:pStyle w:val="berschrift1"/>
      </w:pPr>
      <w:r>
        <w:t xml:space="preserve">Conclusion</w:t>
      </w:r>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Textkrper"/>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p>
      <w:pPr>
        <w:pStyle w:val="Textkrper"/>
      </w:pPr>
    </w:p>
    <w:bookmarkEnd w:id="82"/>
    <w:bookmarkStart w:id="83"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2022-11-23T16:44:23Z</dcterms:created>
  <dcterms:modified xsi:type="dcterms:W3CDTF">2022-11-23T16:44:23Z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Version1.0-OSP11.0OSP Version11.0Qualification Framework Version3.0This qualification report and the corresponding PK-Sim project file are filed at:https://github.com/Open-Systems-Pharmacology/Qualification-CKD</vt:lpwstr>
  </property>
  <property fmtid="{D5CDD505-2E9C-101B-9397-08002B2CF9AE}" pid="3" name="subtitle">
    <vt:lpwstr/>
  </property>
</Properties>
</file>